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2B" w:rsidRDefault="007F5E91" w:rsidP="0033392B">
      <w:pPr>
        <w:ind w:left="720"/>
        <w:rPr>
          <w:rFonts w:ascii="Arial" w:hAnsi="Arial" w:cs="Arial"/>
          <w:color w:val="FFFFFF"/>
          <w:sz w:val="54"/>
          <w:szCs w:val="54"/>
        </w:rPr>
      </w:pPr>
      <w:bookmarkStart w:id="0" w:name="_GoBack"/>
      <w:bookmarkEnd w:id="0"/>
      <w:r>
        <w:rPr>
          <w:rFonts w:ascii="Arial" w:hAnsi="Arial" w:cs="Arial"/>
          <w:color w:val="FFFFFF"/>
          <w:sz w:val="54"/>
          <w:szCs w:val="54"/>
        </w:rPr>
        <w:t xml:space="preserve">      </w:t>
      </w:r>
    </w:p>
    <w:p w:rsidR="009D157B" w:rsidRPr="0033392B" w:rsidRDefault="007F5E91" w:rsidP="0033392B">
      <w:pPr>
        <w:ind w:left="1440"/>
        <w:rPr>
          <w:rFonts w:ascii="Arial" w:hAnsi="Arial" w:cs="Arial"/>
          <w:color w:val="FFFFFF"/>
          <w:sz w:val="54"/>
          <w:szCs w:val="54"/>
        </w:rPr>
      </w:pPr>
      <w:r>
        <w:rPr>
          <w:rFonts w:ascii="Arial" w:hAnsi="Arial" w:cs="Arial"/>
          <w:color w:val="FFFFFF"/>
          <w:sz w:val="18"/>
          <w:szCs w:val="18"/>
        </w:rPr>
        <w:t>Guide for Approved Providers and</w:t>
      </w:r>
      <w:r w:rsidRPr="007F5E91">
        <w:rPr>
          <w:rFonts w:ascii="Arial" w:hAnsi="Arial" w:cs="Arial"/>
          <w:color w:val="FFFFFF"/>
          <w:sz w:val="18"/>
          <w:szCs w:val="18"/>
        </w:rPr>
        <w:t xml:space="preserve"> </w:t>
      </w:r>
      <w:r>
        <w:rPr>
          <w:rFonts w:ascii="Arial" w:hAnsi="Arial" w:cs="Arial"/>
          <w:color w:val="FFFFFF"/>
          <w:sz w:val="18"/>
          <w:szCs w:val="18"/>
        </w:rPr>
        <w:t>FDC educators</w:t>
      </w:r>
    </w:p>
    <w:p w:rsidR="009C196A" w:rsidRPr="0033392B" w:rsidRDefault="007F5E91" w:rsidP="0033392B">
      <w:pPr>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r>
    </w:p>
    <w:p w:rsidR="009C196A" w:rsidRDefault="009C196A" w:rsidP="009C196A">
      <w:pPr>
        <w:tabs>
          <w:tab w:val="left" w:pos="520"/>
        </w:tabs>
        <w:spacing w:line="276" w:lineRule="auto"/>
        <w:rPr>
          <w:rFonts w:ascii="Arial" w:hAnsi="Arial" w:cs="Arial"/>
          <w:color w:val="FFFFFF"/>
          <w:sz w:val="20"/>
          <w:szCs w:val="20"/>
        </w:rPr>
      </w:pPr>
      <w:r>
        <w:rPr>
          <w:rFonts w:ascii="Arial" w:hAnsi="Arial" w:cs="Arial"/>
          <w:color w:val="FFFFFF"/>
          <w:sz w:val="20"/>
          <w:szCs w:val="20"/>
        </w:rPr>
        <w:tab/>
      </w:r>
    </w:p>
    <w:p w:rsidR="009C196A" w:rsidRDefault="009C196A" w:rsidP="009D157B">
      <w:pPr>
        <w:spacing w:line="276" w:lineRule="auto"/>
        <w:rPr>
          <w:rFonts w:ascii="Arial" w:hAnsi="Arial" w:cs="Arial"/>
          <w:color w:val="FFFFFF"/>
          <w:sz w:val="20"/>
          <w:szCs w:val="20"/>
        </w:rPr>
      </w:pPr>
    </w:p>
    <w:p w:rsidR="0033392B" w:rsidRDefault="0033392B" w:rsidP="009C196A">
      <w:pPr>
        <w:spacing w:line="480" w:lineRule="auto"/>
        <w:rPr>
          <w:rFonts w:ascii="Arial" w:hAnsi="Arial" w:cs="Arial"/>
          <w:color w:val="FFFFFF"/>
          <w:sz w:val="36"/>
          <w:szCs w:val="36"/>
        </w:rPr>
      </w:pPr>
    </w:p>
    <w:p w:rsidR="009D157B" w:rsidRPr="001C0FDD" w:rsidRDefault="001C0FDD" w:rsidP="009C196A">
      <w:pPr>
        <w:spacing w:line="480" w:lineRule="auto"/>
        <w:rPr>
          <w:rFonts w:ascii="Arial" w:hAnsi="Arial" w:cs="Arial"/>
          <w:color w:val="FFFFFF"/>
          <w:sz w:val="36"/>
          <w:szCs w:val="36"/>
        </w:rPr>
      </w:pPr>
      <w:r w:rsidRPr="001C0FDD">
        <w:rPr>
          <w:rFonts w:ascii="Arial" w:hAnsi="Arial" w:cs="Arial"/>
          <w:color w:val="FFFFFF"/>
          <w:sz w:val="36"/>
          <w:szCs w:val="36"/>
        </w:rPr>
        <w:t>F</w:t>
      </w:r>
      <w:r w:rsidR="00F24127" w:rsidRPr="001C0FDD">
        <w:rPr>
          <w:rFonts w:ascii="Arial" w:hAnsi="Arial" w:cs="Arial"/>
          <w:color w:val="FFFFFF"/>
          <w:sz w:val="36"/>
          <w:szCs w:val="36"/>
        </w:rPr>
        <w:t>encing requirements</w:t>
      </w:r>
      <w:r w:rsidRPr="001C0FDD">
        <w:rPr>
          <w:rFonts w:ascii="Arial" w:hAnsi="Arial" w:cs="Arial"/>
          <w:color w:val="FFFFFF"/>
          <w:sz w:val="36"/>
          <w:szCs w:val="36"/>
        </w:rPr>
        <w:t xml:space="preserve"> at a family day care residence</w:t>
      </w:r>
    </w:p>
    <w:p w:rsidR="001C0FDD" w:rsidRDefault="001C0FDD" w:rsidP="00F24127">
      <w:pPr>
        <w:pStyle w:val="BlockText"/>
        <w:ind w:right="0"/>
        <w:rPr>
          <w:rFonts w:ascii="Arial" w:hAnsi="Arial"/>
        </w:rPr>
      </w:pPr>
    </w:p>
    <w:p w:rsidR="00707F0C" w:rsidRDefault="00707F0C" w:rsidP="00F24127">
      <w:pPr>
        <w:pStyle w:val="BlockText"/>
        <w:ind w:right="0"/>
        <w:rPr>
          <w:rFonts w:ascii="Arial" w:hAnsi="Arial"/>
        </w:rPr>
      </w:pPr>
      <w:r>
        <w:rPr>
          <w:rFonts w:ascii="Arial" w:hAnsi="Arial"/>
        </w:rPr>
        <w:t xml:space="preserve">Most early childhood education and care services in Queensland are regulated under the National Quality Framework (NQF) which includes the Education and Care Services National Law (National Law), Education and Care </w:t>
      </w:r>
      <w:r w:rsidR="005660D8">
        <w:rPr>
          <w:rFonts w:ascii="Arial" w:hAnsi="Arial"/>
        </w:rPr>
        <w:t>Services</w:t>
      </w:r>
      <w:r>
        <w:rPr>
          <w:rFonts w:ascii="Arial" w:hAnsi="Arial"/>
        </w:rPr>
        <w:t xml:space="preserve"> National Regulations (National Regulations) and the National Quality Standard.</w:t>
      </w:r>
    </w:p>
    <w:p w:rsidR="00707F0C" w:rsidRDefault="00707F0C" w:rsidP="00F24127">
      <w:pPr>
        <w:pStyle w:val="BlockText"/>
        <w:ind w:right="0"/>
        <w:rPr>
          <w:rFonts w:ascii="Arial" w:hAnsi="Arial"/>
        </w:rPr>
      </w:pPr>
      <w:r>
        <w:rPr>
          <w:rFonts w:ascii="Arial" w:hAnsi="Arial"/>
        </w:rPr>
        <w:t xml:space="preserve">The NQF applies to family day care services. </w:t>
      </w:r>
    </w:p>
    <w:p w:rsidR="00E87B0E" w:rsidRDefault="00F24127" w:rsidP="00F24127">
      <w:pPr>
        <w:pStyle w:val="BlockText"/>
        <w:ind w:right="0"/>
        <w:rPr>
          <w:rFonts w:ascii="Arial" w:hAnsi="Arial"/>
        </w:rPr>
      </w:pPr>
      <w:r w:rsidRPr="00F24127">
        <w:rPr>
          <w:rFonts w:ascii="Arial" w:hAnsi="Arial"/>
        </w:rPr>
        <w:t xml:space="preserve">Family day care </w:t>
      </w:r>
      <w:r w:rsidR="007F5E91">
        <w:rPr>
          <w:rFonts w:ascii="Arial" w:hAnsi="Arial"/>
        </w:rPr>
        <w:t xml:space="preserve">(FDC) </w:t>
      </w:r>
      <w:r w:rsidRPr="00F24127">
        <w:rPr>
          <w:rFonts w:ascii="Arial" w:hAnsi="Arial"/>
        </w:rPr>
        <w:t xml:space="preserve">aims to offer an education and care option in a secure and stimulating home environment. </w:t>
      </w:r>
      <w:r w:rsidR="001C0FDD">
        <w:rPr>
          <w:rFonts w:ascii="Arial" w:hAnsi="Arial"/>
        </w:rPr>
        <w:t xml:space="preserve">Before a FDC educator can </w:t>
      </w:r>
      <w:r w:rsidR="00955BFF">
        <w:rPr>
          <w:rFonts w:ascii="Arial" w:hAnsi="Arial"/>
        </w:rPr>
        <w:t xml:space="preserve">commence </w:t>
      </w:r>
      <w:r w:rsidR="001C0FDD">
        <w:rPr>
          <w:rFonts w:ascii="Arial" w:hAnsi="Arial"/>
        </w:rPr>
        <w:t>provid</w:t>
      </w:r>
      <w:r w:rsidR="00955BFF">
        <w:rPr>
          <w:rFonts w:ascii="Arial" w:hAnsi="Arial"/>
        </w:rPr>
        <w:t>ing</w:t>
      </w:r>
      <w:r w:rsidR="001C0FDD">
        <w:rPr>
          <w:rFonts w:ascii="Arial" w:hAnsi="Arial"/>
        </w:rPr>
        <w:t xml:space="preserve"> education and care, a</w:t>
      </w:r>
      <w:r w:rsidR="00E87B0E">
        <w:rPr>
          <w:rFonts w:ascii="Arial" w:hAnsi="Arial"/>
        </w:rPr>
        <w:t xml:space="preserve">n approved provider </w:t>
      </w:r>
      <w:r w:rsidR="00955BFF">
        <w:rPr>
          <w:rFonts w:ascii="Arial" w:hAnsi="Arial"/>
        </w:rPr>
        <w:t xml:space="preserve">of a FDC service </w:t>
      </w:r>
      <w:r w:rsidR="00E87B0E">
        <w:rPr>
          <w:rFonts w:ascii="Arial" w:hAnsi="Arial"/>
        </w:rPr>
        <w:t xml:space="preserve">must conduct an assessment, including a risk assessment, of a proposed FDC residence. The approved provider must have regard to the </w:t>
      </w:r>
      <w:r w:rsidR="00CF46F2">
        <w:rPr>
          <w:rFonts w:ascii="Arial" w:hAnsi="Arial"/>
        </w:rPr>
        <w:t xml:space="preserve">matters outlined in regulation 116(2) of the National Regulations, including the </w:t>
      </w:r>
      <w:r w:rsidR="00E87B0E">
        <w:rPr>
          <w:rFonts w:ascii="Arial" w:hAnsi="Arial"/>
        </w:rPr>
        <w:t>physical environment</w:t>
      </w:r>
      <w:r w:rsidR="00722521">
        <w:rPr>
          <w:rFonts w:ascii="Arial" w:hAnsi="Arial"/>
        </w:rPr>
        <w:t xml:space="preserve"> of the premises</w:t>
      </w:r>
      <w:r w:rsidR="00CF46F2">
        <w:rPr>
          <w:rFonts w:ascii="Arial" w:hAnsi="Arial"/>
        </w:rPr>
        <w:t>,</w:t>
      </w:r>
      <w:r w:rsidR="001463ED">
        <w:rPr>
          <w:rFonts w:ascii="Arial" w:hAnsi="Arial"/>
        </w:rPr>
        <w:t xml:space="preserve"> to ensure </w:t>
      </w:r>
      <w:r w:rsidR="00E87B0E">
        <w:rPr>
          <w:rFonts w:ascii="Arial" w:hAnsi="Arial"/>
        </w:rPr>
        <w:t>the safety</w:t>
      </w:r>
      <w:r w:rsidR="00481D02">
        <w:rPr>
          <w:rFonts w:ascii="Arial" w:hAnsi="Arial"/>
        </w:rPr>
        <w:t>,</w:t>
      </w:r>
      <w:r w:rsidR="00E87B0E">
        <w:rPr>
          <w:rFonts w:ascii="Arial" w:hAnsi="Arial"/>
        </w:rPr>
        <w:t xml:space="preserve"> health and wellbeing of children attending the service. </w:t>
      </w:r>
    </w:p>
    <w:p w:rsidR="007F5E91" w:rsidRPr="00F24127" w:rsidRDefault="007F5E91" w:rsidP="00F24127">
      <w:pPr>
        <w:pStyle w:val="BlockText"/>
        <w:ind w:right="0"/>
        <w:rPr>
          <w:rFonts w:ascii="Arial" w:hAnsi="Arial"/>
        </w:rPr>
      </w:pPr>
      <w:r>
        <w:rPr>
          <w:rFonts w:ascii="Arial" w:hAnsi="Arial"/>
        </w:rPr>
        <w:t xml:space="preserve">This fact sheet provides an overview of </w:t>
      </w:r>
      <w:r w:rsidR="00CF46F2">
        <w:rPr>
          <w:rFonts w:ascii="Arial" w:hAnsi="Arial"/>
        </w:rPr>
        <w:t>an approved provider</w:t>
      </w:r>
      <w:r w:rsidR="00955BFF">
        <w:rPr>
          <w:rFonts w:ascii="Arial" w:hAnsi="Arial"/>
        </w:rPr>
        <w:t>’</w:t>
      </w:r>
      <w:r w:rsidR="00CF46F2">
        <w:rPr>
          <w:rFonts w:ascii="Arial" w:hAnsi="Arial"/>
        </w:rPr>
        <w:t xml:space="preserve">s </w:t>
      </w:r>
      <w:r>
        <w:rPr>
          <w:rFonts w:ascii="Arial" w:hAnsi="Arial"/>
        </w:rPr>
        <w:t xml:space="preserve">responsibilities under the </w:t>
      </w:r>
      <w:r w:rsidR="00CF46F2">
        <w:rPr>
          <w:rFonts w:ascii="Arial" w:hAnsi="Arial"/>
        </w:rPr>
        <w:t>National Regulations</w:t>
      </w:r>
      <w:r>
        <w:rPr>
          <w:rFonts w:ascii="Arial" w:hAnsi="Arial"/>
        </w:rPr>
        <w:t xml:space="preserve"> in regard to fencing requirements at FDC residences. </w:t>
      </w:r>
    </w:p>
    <w:p w:rsidR="00F24127" w:rsidRPr="00F24127" w:rsidRDefault="00F24127" w:rsidP="00CF46F2">
      <w:pPr>
        <w:pStyle w:val="Heading3"/>
        <w:tabs>
          <w:tab w:val="left" w:pos="3551"/>
        </w:tabs>
      </w:pPr>
      <w:r w:rsidRPr="00F24127">
        <w:t>Fencing requirements</w:t>
      </w:r>
    </w:p>
    <w:p w:rsidR="00162B1D" w:rsidRDefault="00EE4325" w:rsidP="00F24127">
      <w:pPr>
        <w:pStyle w:val="BlockText"/>
        <w:ind w:right="0"/>
        <w:rPr>
          <w:rFonts w:ascii="Arial" w:hAnsi="Arial"/>
        </w:rPr>
      </w:pPr>
      <w:r w:rsidRPr="00EE4325">
        <w:rPr>
          <w:rFonts w:ascii="Arial" w:hAnsi="Arial"/>
        </w:rPr>
        <w:t xml:space="preserve">Each </w:t>
      </w:r>
      <w:r w:rsidR="006223EF">
        <w:rPr>
          <w:rFonts w:ascii="Arial" w:hAnsi="Arial"/>
        </w:rPr>
        <w:t>FDC</w:t>
      </w:r>
      <w:r w:rsidRPr="00EE4325">
        <w:rPr>
          <w:rFonts w:ascii="Arial" w:hAnsi="Arial"/>
        </w:rPr>
        <w:t xml:space="preserve"> residence should have access to a suitable and appropriate outdoor play space that meets the needs of the children being provided education and care in each family day care residence in terms of their age, development and the program being offered. </w:t>
      </w:r>
      <w:r w:rsidR="00162B1D" w:rsidRPr="00F24127">
        <w:rPr>
          <w:rFonts w:ascii="Arial" w:hAnsi="Arial"/>
        </w:rPr>
        <w:t>There is ample evidence to support the view that access to outdoor space is an important part of children's physical, mental and social development</w:t>
      </w:r>
      <w:r w:rsidR="00196A40">
        <w:rPr>
          <w:rFonts w:ascii="Arial" w:hAnsi="Arial"/>
        </w:rPr>
        <w:t>,</w:t>
      </w:r>
      <w:r w:rsidR="00162B1D" w:rsidRPr="00F24127">
        <w:rPr>
          <w:rFonts w:ascii="Arial" w:hAnsi="Arial"/>
        </w:rPr>
        <w:t xml:space="preserve"> as well as providing good educational experiences.</w:t>
      </w:r>
    </w:p>
    <w:p w:rsidR="00F24127" w:rsidRDefault="00F24127" w:rsidP="00F24127">
      <w:pPr>
        <w:pStyle w:val="BlockText"/>
        <w:ind w:right="0"/>
        <w:rPr>
          <w:rFonts w:ascii="Arial" w:hAnsi="Arial"/>
        </w:rPr>
      </w:pPr>
      <w:r w:rsidRPr="00F24127">
        <w:rPr>
          <w:rFonts w:ascii="Arial" w:hAnsi="Arial"/>
        </w:rPr>
        <w:t xml:space="preserve">Regulation 104 </w:t>
      </w:r>
      <w:r w:rsidR="00CF46F2">
        <w:rPr>
          <w:rFonts w:ascii="Arial" w:hAnsi="Arial"/>
        </w:rPr>
        <w:t>requires an approved p</w:t>
      </w:r>
      <w:r w:rsidRPr="00F24127">
        <w:rPr>
          <w:rFonts w:ascii="Arial" w:hAnsi="Arial"/>
        </w:rPr>
        <w:t>rovider to ensure that any outdo</w:t>
      </w:r>
      <w:r>
        <w:rPr>
          <w:rFonts w:ascii="Arial" w:hAnsi="Arial"/>
        </w:rPr>
        <w:t xml:space="preserve">or space used by children at an </w:t>
      </w:r>
      <w:r w:rsidRPr="00F24127">
        <w:rPr>
          <w:rFonts w:ascii="Arial" w:hAnsi="Arial"/>
        </w:rPr>
        <w:t>education and care service premises is enclosed by a fence or b</w:t>
      </w:r>
      <w:r>
        <w:rPr>
          <w:rFonts w:ascii="Arial" w:hAnsi="Arial"/>
        </w:rPr>
        <w:t xml:space="preserve">arrier that is of such a height </w:t>
      </w:r>
      <w:r w:rsidRPr="00F24127">
        <w:rPr>
          <w:rFonts w:ascii="Arial" w:hAnsi="Arial"/>
        </w:rPr>
        <w:t>and design that children of preschool age, or under, cannot go through, over or under it.</w:t>
      </w:r>
    </w:p>
    <w:p w:rsidR="00EE4325" w:rsidRDefault="00EB0F24" w:rsidP="00F24127">
      <w:pPr>
        <w:pStyle w:val="BlockText"/>
        <w:ind w:right="0"/>
        <w:rPr>
          <w:rFonts w:ascii="Arial" w:hAnsi="Arial"/>
        </w:rPr>
      </w:pPr>
      <w:r w:rsidRPr="00F24127">
        <w:rPr>
          <w:rFonts w:ascii="Arial" w:hAnsi="Arial"/>
        </w:rPr>
        <w:t>The intent of regulation 104 is that, even when the service fails to provide adequate supervision, children under school age should not be able to leave the premises unaccompanied or undetected. In this respect, the regulation is designed to ensure that service pe</w:t>
      </w:r>
      <w:r>
        <w:rPr>
          <w:rFonts w:ascii="Arial" w:hAnsi="Arial"/>
        </w:rPr>
        <w:t>rimeters (fences) are failsafe.</w:t>
      </w:r>
    </w:p>
    <w:p w:rsidR="00EB0F24" w:rsidRPr="00F24127" w:rsidRDefault="00EB0F24" w:rsidP="00F24127">
      <w:pPr>
        <w:pStyle w:val="BlockText"/>
        <w:ind w:right="0"/>
        <w:rPr>
          <w:rFonts w:ascii="Arial" w:hAnsi="Arial"/>
        </w:rPr>
      </w:pPr>
      <w:r w:rsidRPr="00F24127">
        <w:rPr>
          <w:rFonts w:ascii="Arial" w:hAnsi="Arial"/>
        </w:rPr>
        <w:lastRenderedPageBreak/>
        <w:t>For this reason the Regulatory Authority takes a very strict view o</w:t>
      </w:r>
      <w:r w:rsidR="00D511CA">
        <w:rPr>
          <w:rFonts w:ascii="Arial" w:hAnsi="Arial"/>
        </w:rPr>
        <w:t>f</w:t>
      </w:r>
      <w:r w:rsidRPr="00F24127">
        <w:rPr>
          <w:rFonts w:ascii="Arial" w:hAnsi="Arial"/>
        </w:rPr>
        <w:t xml:space="preserve"> the requirement for appropriate fencing. </w:t>
      </w:r>
    </w:p>
    <w:p w:rsidR="00F24127" w:rsidRPr="00F24127" w:rsidRDefault="00F24127" w:rsidP="00F24127">
      <w:pPr>
        <w:pStyle w:val="Heading3"/>
        <w:tabs>
          <w:tab w:val="left" w:pos="3551"/>
        </w:tabs>
      </w:pPr>
      <w:r w:rsidRPr="00F24127">
        <w:t>What is an education and care service premises?</w:t>
      </w:r>
    </w:p>
    <w:p w:rsidR="00F24127" w:rsidRPr="00F24127" w:rsidRDefault="00D511CA" w:rsidP="0025448F">
      <w:pPr>
        <w:pStyle w:val="BlockText"/>
        <w:ind w:right="0"/>
        <w:rPr>
          <w:rFonts w:ascii="Arial" w:hAnsi="Arial"/>
        </w:rPr>
      </w:pPr>
      <w:r>
        <w:rPr>
          <w:rFonts w:ascii="Arial" w:hAnsi="Arial"/>
        </w:rPr>
        <w:t xml:space="preserve">Section 5 of the National Law defines </w:t>
      </w:r>
      <w:r w:rsidR="00963D0C">
        <w:rPr>
          <w:rFonts w:ascii="Arial" w:hAnsi="Arial"/>
        </w:rPr>
        <w:t xml:space="preserve">education and care services premises, in relation to a </w:t>
      </w:r>
      <w:r>
        <w:rPr>
          <w:rFonts w:ascii="Arial" w:hAnsi="Arial"/>
        </w:rPr>
        <w:t xml:space="preserve">family day care </w:t>
      </w:r>
      <w:r w:rsidR="00963D0C">
        <w:rPr>
          <w:rFonts w:ascii="Arial" w:hAnsi="Arial"/>
        </w:rPr>
        <w:t>service, as</w:t>
      </w:r>
      <w:r w:rsidR="0025448F">
        <w:rPr>
          <w:rFonts w:ascii="Arial" w:hAnsi="Arial"/>
        </w:rPr>
        <w:t xml:space="preserve"> </w:t>
      </w:r>
      <w:r w:rsidR="00F24127" w:rsidRPr="00F24127">
        <w:rPr>
          <w:rFonts w:ascii="Arial" w:hAnsi="Arial"/>
        </w:rPr>
        <w:t xml:space="preserve">each part of a residence used to provide education and care to children as part of a </w:t>
      </w:r>
      <w:r w:rsidR="00EB0F24">
        <w:rPr>
          <w:rFonts w:ascii="Arial" w:hAnsi="Arial"/>
        </w:rPr>
        <w:t>FDC</w:t>
      </w:r>
      <w:r w:rsidR="00F24127" w:rsidRPr="00F24127">
        <w:rPr>
          <w:rFonts w:ascii="Arial" w:hAnsi="Arial"/>
        </w:rPr>
        <w:t xml:space="preserve"> service or used to provide access to that</w:t>
      </w:r>
      <w:r w:rsidR="0025448F">
        <w:rPr>
          <w:rFonts w:ascii="Arial" w:hAnsi="Arial"/>
        </w:rPr>
        <w:t xml:space="preserve"> part </w:t>
      </w:r>
      <w:r w:rsidR="00F24127" w:rsidRPr="00F24127">
        <w:rPr>
          <w:rFonts w:ascii="Arial" w:hAnsi="Arial"/>
        </w:rPr>
        <w:t>of the residence used to provide education and care</w:t>
      </w:r>
      <w:r w:rsidR="0025448F">
        <w:rPr>
          <w:rFonts w:ascii="Arial" w:hAnsi="Arial"/>
        </w:rPr>
        <w:t xml:space="preserve">. </w:t>
      </w:r>
      <w:r w:rsidR="00F24127" w:rsidRPr="00F24127">
        <w:rPr>
          <w:rFonts w:ascii="Arial" w:hAnsi="Arial"/>
        </w:rPr>
        <w:t>This include</w:t>
      </w:r>
      <w:r w:rsidR="00CF46F2">
        <w:rPr>
          <w:rFonts w:ascii="Arial" w:hAnsi="Arial"/>
        </w:rPr>
        <w:t>s</w:t>
      </w:r>
      <w:r w:rsidR="00F24127" w:rsidRPr="00F24127">
        <w:rPr>
          <w:rFonts w:ascii="Arial" w:hAnsi="Arial"/>
        </w:rPr>
        <w:t xml:space="preserve"> the outdoor space a</w:t>
      </w:r>
      <w:r w:rsidR="00196A40">
        <w:rPr>
          <w:rFonts w:ascii="Arial" w:hAnsi="Arial"/>
        </w:rPr>
        <w:t>djoining</w:t>
      </w:r>
      <w:r w:rsidR="00F24127" w:rsidRPr="00F24127">
        <w:rPr>
          <w:rFonts w:ascii="Arial" w:hAnsi="Arial"/>
        </w:rPr>
        <w:t xml:space="preserve"> the residence if it is to be used by the children as part of the education and care service.</w:t>
      </w:r>
    </w:p>
    <w:p w:rsidR="00F24127" w:rsidRPr="00F24127" w:rsidRDefault="00F24127" w:rsidP="00F24127">
      <w:pPr>
        <w:pStyle w:val="Heading3"/>
        <w:tabs>
          <w:tab w:val="left" w:pos="3551"/>
        </w:tabs>
      </w:pPr>
      <w:r w:rsidRPr="00F24127">
        <w:t>Who needs to have a fence?</w:t>
      </w:r>
    </w:p>
    <w:p w:rsidR="00F24127" w:rsidRPr="00F24127" w:rsidRDefault="00F24127" w:rsidP="00F24127">
      <w:pPr>
        <w:pStyle w:val="BlockText"/>
        <w:ind w:right="0"/>
        <w:rPr>
          <w:rFonts w:ascii="Arial" w:hAnsi="Arial"/>
        </w:rPr>
      </w:pPr>
      <w:r w:rsidRPr="00F24127">
        <w:rPr>
          <w:rFonts w:ascii="Arial" w:hAnsi="Arial"/>
        </w:rPr>
        <w:t xml:space="preserve">A </w:t>
      </w:r>
      <w:r w:rsidR="00EB0F24">
        <w:rPr>
          <w:rFonts w:ascii="Arial" w:hAnsi="Arial"/>
        </w:rPr>
        <w:t>FDC</w:t>
      </w:r>
      <w:r w:rsidRPr="00F24127">
        <w:rPr>
          <w:rFonts w:ascii="Arial" w:hAnsi="Arial"/>
        </w:rPr>
        <w:t xml:space="preserve"> educator who is providing education and care to a child under preschool age and who uses the outdoor space </w:t>
      </w:r>
      <w:r w:rsidR="00D511CA">
        <w:rPr>
          <w:rFonts w:ascii="Arial" w:hAnsi="Arial"/>
        </w:rPr>
        <w:t xml:space="preserve">at the family day care residence </w:t>
      </w:r>
      <w:r w:rsidRPr="00F24127">
        <w:rPr>
          <w:rFonts w:ascii="Arial" w:hAnsi="Arial"/>
        </w:rPr>
        <w:t>to provide education and care to children as part of a family day care service must have a fence in accordance with Regulation 104.</w:t>
      </w:r>
    </w:p>
    <w:p w:rsidR="00F24127" w:rsidRPr="00F24127" w:rsidRDefault="00F24127" w:rsidP="00F24127">
      <w:pPr>
        <w:pStyle w:val="Heading3"/>
        <w:tabs>
          <w:tab w:val="left" w:pos="3551"/>
        </w:tabs>
      </w:pPr>
      <w:r w:rsidRPr="00F24127">
        <w:t>Who does not need a fence?</w:t>
      </w:r>
    </w:p>
    <w:p w:rsidR="00F24127" w:rsidRDefault="00EE4325" w:rsidP="00EE4325">
      <w:pPr>
        <w:pStyle w:val="BlockText"/>
        <w:ind w:right="0"/>
        <w:rPr>
          <w:rFonts w:ascii="Arial" w:hAnsi="Arial"/>
        </w:rPr>
      </w:pPr>
      <w:r>
        <w:rPr>
          <w:rFonts w:ascii="Arial" w:hAnsi="Arial"/>
        </w:rPr>
        <w:t xml:space="preserve">A </w:t>
      </w:r>
      <w:r w:rsidR="00F24127" w:rsidRPr="00F24127">
        <w:rPr>
          <w:rFonts w:ascii="Arial" w:hAnsi="Arial"/>
        </w:rPr>
        <w:t>F</w:t>
      </w:r>
      <w:r w:rsidR="00EB0F24">
        <w:rPr>
          <w:rFonts w:ascii="Arial" w:hAnsi="Arial"/>
        </w:rPr>
        <w:t xml:space="preserve">DC </w:t>
      </w:r>
      <w:r>
        <w:rPr>
          <w:rFonts w:ascii="Arial" w:hAnsi="Arial"/>
        </w:rPr>
        <w:t>educator</w:t>
      </w:r>
      <w:r w:rsidR="00F24127" w:rsidRPr="00F24127">
        <w:rPr>
          <w:rFonts w:ascii="Arial" w:hAnsi="Arial"/>
        </w:rPr>
        <w:t xml:space="preserve"> who provide</w:t>
      </w:r>
      <w:r>
        <w:rPr>
          <w:rFonts w:ascii="Arial" w:hAnsi="Arial"/>
        </w:rPr>
        <w:t>s</w:t>
      </w:r>
      <w:r w:rsidR="00F24127" w:rsidRPr="00F24127">
        <w:rPr>
          <w:rFonts w:ascii="Arial" w:hAnsi="Arial"/>
        </w:rPr>
        <w:t xml:space="preserve"> education and care to </w:t>
      </w:r>
      <w:r w:rsidRPr="00F24127">
        <w:rPr>
          <w:rFonts w:ascii="Arial" w:hAnsi="Arial"/>
        </w:rPr>
        <w:t xml:space="preserve">only </w:t>
      </w:r>
      <w:r w:rsidR="00F24127" w:rsidRPr="00F24127">
        <w:rPr>
          <w:rFonts w:ascii="Arial" w:hAnsi="Arial"/>
        </w:rPr>
        <w:t>children over preschool age</w:t>
      </w:r>
      <w:r>
        <w:rPr>
          <w:rFonts w:ascii="Arial" w:hAnsi="Arial"/>
        </w:rPr>
        <w:t xml:space="preserve"> is not required to have a fence or barrier enclosing the outdoor space at the education and care premises</w:t>
      </w:r>
      <w:r w:rsidR="00F24127" w:rsidRPr="00F24127">
        <w:rPr>
          <w:rFonts w:ascii="Arial" w:hAnsi="Arial"/>
        </w:rPr>
        <w:t>.</w:t>
      </w:r>
    </w:p>
    <w:p w:rsidR="00EE4325" w:rsidRPr="00F24127" w:rsidRDefault="00EE4325" w:rsidP="00BA0CC8">
      <w:pPr>
        <w:pStyle w:val="BlockText"/>
        <w:ind w:right="0"/>
        <w:rPr>
          <w:rFonts w:ascii="Arial" w:hAnsi="Arial"/>
        </w:rPr>
      </w:pPr>
      <w:r>
        <w:rPr>
          <w:rFonts w:ascii="Arial" w:hAnsi="Arial"/>
        </w:rPr>
        <w:t>It is reasonable for a</w:t>
      </w:r>
      <w:r w:rsidRPr="00EE4325">
        <w:rPr>
          <w:rFonts w:ascii="Arial" w:hAnsi="Arial"/>
        </w:rPr>
        <w:t xml:space="preserve"> </w:t>
      </w:r>
      <w:r w:rsidRPr="00F24127">
        <w:rPr>
          <w:rFonts w:ascii="Arial" w:hAnsi="Arial"/>
        </w:rPr>
        <w:t>F</w:t>
      </w:r>
      <w:r>
        <w:rPr>
          <w:rFonts w:ascii="Arial" w:hAnsi="Arial"/>
        </w:rPr>
        <w:t>DC educator</w:t>
      </w:r>
      <w:r w:rsidRPr="00F24127">
        <w:rPr>
          <w:rFonts w:ascii="Arial" w:hAnsi="Arial"/>
        </w:rPr>
        <w:t xml:space="preserve"> who reside</w:t>
      </w:r>
      <w:r w:rsidR="00D511CA">
        <w:rPr>
          <w:rFonts w:ascii="Arial" w:hAnsi="Arial"/>
        </w:rPr>
        <w:t>s</w:t>
      </w:r>
      <w:r w:rsidRPr="00F24127">
        <w:rPr>
          <w:rFonts w:ascii="Arial" w:hAnsi="Arial"/>
        </w:rPr>
        <w:t xml:space="preserve"> in a dwelling, such as a unit or apartment, that does not have an outdoor space</w:t>
      </w:r>
      <w:r w:rsidRPr="00EE4325">
        <w:rPr>
          <w:rFonts w:ascii="Arial" w:hAnsi="Arial"/>
        </w:rPr>
        <w:t xml:space="preserve"> (where an outdoor space is not available or suitable on the premises) to have regular access to a nearby park or playground, if the required risk assessment and parental permission forms are in place.</w:t>
      </w:r>
    </w:p>
    <w:p w:rsidR="00F24127" w:rsidRPr="00F24127" w:rsidRDefault="00F24127" w:rsidP="00F24127">
      <w:pPr>
        <w:pStyle w:val="Heading3"/>
        <w:tabs>
          <w:tab w:val="left" w:pos="3551"/>
        </w:tabs>
      </w:pPr>
      <w:r w:rsidRPr="00F24127">
        <w:t>Excursions</w:t>
      </w:r>
      <w:r w:rsidR="00EC4507">
        <w:t xml:space="preserve"> and regular outings</w:t>
      </w:r>
      <w:r w:rsidRPr="00F24127">
        <w:t xml:space="preserve"> are not substitutes for fences</w:t>
      </w:r>
    </w:p>
    <w:p w:rsidR="00F24127" w:rsidRPr="00F24127" w:rsidRDefault="00F24127" w:rsidP="00F24127">
      <w:pPr>
        <w:pStyle w:val="BlockText"/>
        <w:ind w:right="0"/>
        <w:rPr>
          <w:rFonts w:ascii="Arial" w:hAnsi="Arial"/>
        </w:rPr>
      </w:pPr>
      <w:r w:rsidRPr="00F24127">
        <w:rPr>
          <w:rFonts w:ascii="Arial" w:hAnsi="Arial"/>
        </w:rPr>
        <w:t>The excursion</w:t>
      </w:r>
      <w:r w:rsidR="00EC4507">
        <w:rPr>
          <w:rFonts w:ascii="Arial" w:hAnsi="Arial"/>
        </w:rPr>
        <w:t xml:space="preserve"> and regular outing</w:t>
      </w:r>
      <w:r w:rsidRPr="00F24127">
        <w:rPr>
          <w:rFonts w:ascii="Arial" w:hAnsi="Arial"/>
        </w:rPr>
        <w:t xml:space="preserve"> provision</w:t>
      </w:r>
      <w:r w:rsidR="00256BBF">
        <w:rPr>
          <w:rFonts w:ascii="Arial" w:hAnsi="Arial"/>
        </w:rPr>
        <w:t>s</w:t>
      </w:r>
      <w:r w:rsidRPr="00F24127">
        <w:rPr>
          <w:rFonts w:ascii="Arial" w:hAnsi="Arial"/>
        </w:rPr>
        <w:t xml:space="preserve"> must not be used to enable children at the service to access the outdoor space at the</w:t>
      </w:r>
      <w:r w:rsidR="00EC4507" w:rsidRPr="00EC4507">
        <w:rPr>
          <w:rFonts w:ascii="Arial" w:hAnsi="Arial"/>
        </w:rPr>
        <w:t xml:space="preserve"> </w:t>
      </w:r>
      <w:r w:rsidR="00EC4507" w:rsidRPr="00F24127">
        <w:rPr>
          <w:rFonts w:ascii="Arial" w:hAnsi="Arial"/>
        </w:rPr>
        <w:t>education and care service premises</w:t>
      </w:r>
      <w:r w:rsidRPr="00F24127">
        <w:rPr>
          <w:rFonts w:ascii="Arial" w:hAnsi="Arial"/>
        </w:rPr>
        <w:t>.</w:t>
      </w:r>
    </w:p>
    <w:p w:rsidR="00EC4507" w:rsidRPr="00BE4990" w:rsidRDefault="00EC4507" w:rsidP="00F24127">
      <w:pPr>
        <w:pStyle w:val="BlockText"/>
        <w:ind w:right="0"/>
        <w:rPr>
          <w:rFonts w:ascii="Arial" w:hAnsi="Arial"/>
          <w:b/>
          <w:i/>
        </w:rPr>
      </w:pPr>
      <w:r w:rsidRPr="00BE4990">
        <w:rPr>
          <w:rFonts w:ascii="Arial" w:hAnsi="Arial"/>
          <w:b/>
          <w:i/>
        </w:rPr>
        <w:t>Excursions</w:t>
      </w:r>
    </w:p>
    <w:p w:rsidR="00052B51" w:rsidRPr="00F24127" w:rsidRDefault="006F7FEA" w:rsidP="00F24127">
      <w:pPr>
        <w:pStyle w:val="BlockText"/>
        <w:ind w:right="0"/>
        <w:rPr>
          <w:rFonts w:ascii="Arial" w:hAnsi="Arial"/>
        </w:rPr>
      </w:pPr>
      <w:r>
        <w:rPr>
          <w:rFonts w:ascii="Arial" w:hAnsi="Arial"/>
        </w:rPr>
        <w:t xml:space="preserve">An </w:t>
      </w:r>
      <w:r w:rsidRPr="006F7FEA">
        <w:rPr>
          <w:rFonts w:ascii="Arial" w:hAnsi="Arial"/>
          <w:b/>
        </w:rPr>
        <w:t>excursion</w:t>
      </w:r>
      <w:r w:rsidRPr="006F7FEA">
        <w:rPr>
          <w:rFonts w:ascii="Arial" w:hAnsi="Arial"/>
        </w:rPr>
        <w:t xml:space="preserve"> means ‘an outing organised by an education and care service or family day care educator’. (</w:t>
      </w:r>
      <w:r>
        <w:rPr>
          <w:rFonts w:ascii="Arial" w:hAnsi="Arial"/>
        </w:rPr>
        <w:t>R</w:t>
      </w:r>
      <w:r w:rsidR="00F24127" w:rsidRPr="006F7FEA">
        <w:rPr>
          <w:rFonts w:ascii="Arial" w:hAnsi="Arial"/>
        </w:rPr>
        <w:t>egulatio</w:t>
      </w:r>
      <w:r w:rsidRPr="006F7FEA">
        <w:rPr>
          <w:rFonts w:ascii="Arial" w:hAnsi="Arial"/>
        </w:rPr>
        <w:t>n 4 of the National Regulations)</w:t>
      </w:r>
    </w:p>
    <w:p w:rsidR="00EC4507" w:rsidRDefault="00F24127" w:rsidP="00F24127">
      <w:pPr>
        <w:pStyle w:val="BlockText"/>
        <w:ind w:right="0"/>
        <w:rPr>
          <w:rFonts w:ascii="Arial" w:hAnsi="Arial"/>
        </w:rPr>
      </w:pPr>
      <w:r w:rsidRPr="00F24127">
        <w:rPr>
          <w:rFonts w:ascii="Arial" w:hAnsi="Arial"/>
        </w:rPr>
        <w:t>An example of an excursion could be taking children on a trip to the museum as part of the educat</w:t>
      </w:r>
      <w:r w:rsidR="00C74965">
        <w:rPr>
          <w:rFonts w:ascii="Arial" w:hAnsi="Arial"/>
        </w:rPr>
        <w:t>ional</w:t>
      </w:r>
      <w:r w:rsidRPr="00F24127">
        <w:rPr>
          <w:rFonts w:ascii="Arial" w:hAnsi="Arial"/>
        </w:rPr>
        <w:t xml:space="preserve"> program</w:t>
      </w:r>
      <w:r w:rsidR="00C74965">
        <w:rPr>
          <w:rFonts w:ascii="Arial" w:hAnsi="Arial"/>
        </w:rPr>
        <w:t xml:space="preserve"> being offered by the service</w:t>
      </w:r>
      <w:r w:rsidRPr="00F24127">
        <w:rPr>
          <w:rFonts w:ascii="Arial" w:hAnsi="Arial"/>
        </w:rPr>
        <w:t xml:space="preserve">. This type of outing requires </w:t>
      </w:r>
      <w:r w:rsidR="00C74965">
        <w:rPr>
          <w:rFonts w:ascii="Arial" w:hAnsi="Arial"/>
        </w:rPr>
        <w:t xml:space="preserve">the approved provider to conduct a risk assessment and obtain written parental authorisation before taking a child outside the service’s premises. </w:t>
      </w:r>
      <w:r w:rsidRPr="00F24127">
        <w:rPr>
          <w:rFonts w:ascii="Arial" w:hAnsi="Arial"/>
        </w:rPr>
        <w:t xml:space="preserve">The risk assessment identifies risks and control measures </w:t>
      </w:r>
      <w:r w:rsidR="005E13E0">
        <w:rPr>
          <w:rFonts w:ascii="Arial" w:hAnsi="Arial"/>
        </w:rPr>
        <w:t>relating</w:t>
      </w:r>
      <w:r w:rsidRPr="00F24127">
        <w:rPr>
          <w:rFonts w:ascii="Arial" w:hAnsi="Arial"/>
        </w:rPr>
        <w:t xml:space="preserve"> to the destination</w:t>
      </w:r>
      <w:r w:rsidR="00C74965">
        <w:rPr>
          <w:rFonts w:ascii="Arial" w:hAnsi="Arial"/>
        </w:rPr>
        <w:t xml:space="preserve"> for the excursion</w:t>
      </w:r>
      <w:r w:rsidRPr="00F24127">
        <w:rPr>
          <w:rFonts w:ascii="Arial" w:hAnsi="Arial"/>
        </w:rPr>
        <w:t>, including taking the appropriate records and equipment, such as emergency contact numbers, a first aid kit a</w:t>
      </w:r>
      <w:r w:rsidR="00C74965">
        <w:rPr>
          <w:rFonts w:ascii="Arial" w:hAnsi="Arial"/>
        </w:rPr>
        <w:t>nd a</w:t>
      </w:r>
      <w:r w:rsidRPr="00F24127">
        <w:rPr>
          <w:rFonts w:ascii="Arial" w:hAnsi="Arial"/>
        </w:rPr>
        <w:t xml:space="preserve"> mobile phone.</w:t>
      </w:r>
    </w:p>
    <w:p w:rsidR="006F7FEA" w:rsidRDefault="00256BBF" w:rsidP="00F24127">
      <w:pPr>
        <w:pStyle w:val="BlockText"/>
        <w:ind w:right="0"/>
        <w:rPr>
          <w:rFonts w:ascii="Arial" w:hAnsi="Arial"/>
        </w:rPr>
      </w:pPr>
      <w:r>
        <w:rPr>
          <w:rFonts w:ascii="Arial" w:hAnsi="Arial"/>
        </w:rPr>
        <w:t>The excursion provision must not be used to a</w:t>
      </w:r>
      <w:r w:rsidR="006F7FEA">
        <w:rPr>
          <w:rFonts w:ascii="Arial" w:hAnsi="Arial"/>
        </w:rPr>
        <w:t xml:space="preserve">ccess the outdoor space at the education and care premises </w:t>
      </w:r>
      <w:r>
        <w:rPr>
          <w:rFonts w:ascii="Arial" w:hAnsi="Arial"/>
        </w:rPr>
        <w:t xml:space="preserve">as it </w:t>
      </w:r>
      <w:r w:rsidR="005E13E0">
        <w:rPr>
          <w:rFonts w:ascii="Arial" w:hAnsi="Arial"/>
        </w:rPr>
        <w:t xml:space="preserve">undermines </w:t>
      </w:r>
      <w:r w:rsidR="0025448F">
        <w:rPr>
          <w:rFonts w:ascii="Arial" w:hAnsi="Arial"/>
        </w:rPr>
        <w:t xml:space="preserve">the intent of regulation 104 and renders it virtually unenforceable. </w:t>
      </w:r>
      <w:r w:rsidR="006F7FEA">
        <w:rPr>
          <w:rFonts w:ascii="Arial" w:hAnsi="Arial"/>
        </w:rPr>
        <w:t xml:space="preserve"> </w:t>
      </w:r>
    </w:p>
    <w:p w:rsidR="001547C7" w:rsidRDefault="001547C7" w:rsidP="00F24127">
      <w:pPr>
        <w:pStyle w:val="BlockText"/>
        <w:ind w:right="0"/>
        <w:rPr>
          <w:rFonts w:ascii="Arial" w:hAnsi="Arial"/>
          <w:b/>
          <w:i/>
        </w:rPr>
      </w:pPr>
    </w:p>
    <w:p w:rsidR="00EC4507" w:rsidRPr="00BE4990" w:rsidRDefault="00EC4507" w:rsidP="00F24127">
      <w:pPr>
        <w:pStyle w:val="BlockText"/>
        <w:ind w:right="0"/>
        <w:rPr>
          <w:rFonts w:ascii="Arial" w:hAnsi="Arial"/>
          <w:b/>
          <w:i/>
        </w:rPr>
      </w:pPr>
      <w:r w:rsidRPr="00BE4990">
        <w:rPr>
          <w:rFonts w:ascii="Arial" w:hAnsi="Arial"/>
          <w:b/>
          <w:i/>
        </w:rPr>
        <w:lastRenderedPageBreak/>
        <w:t>Regular outing</w:t>
      </w:r>
    </w:p>
    <w:p w:rsidR="006F7FEA" w:rsidRDefault="006F7FEA" w:rsidP="00C74965">
      <w:pPr>
        <w:pStyle w:val="BlockText"/>
        <w:ind w:right="0"/>
      </w:pPr>
      <w:r>
        <w:rPr>
          <w:rFonts w:ascii="Arial" w:hAnsi="Arial"/>
        </w:rPr>
        <w:t xml:space="preserve">A </w:t>
      </w:r>
      <w:r w:rsidR="00EC4507" w:rsidRPr="006F7FEA">
        <w:rPr>
          <w:rFonts w:ascii="Arial" w:hAnsi="Arial"/>
          <w:b/>
        </w:rPr>
        <w:t>regular outing</w:t>
      </w:r>
      <w:r>
        <w:rPr>
          <w:rFonts w:ascii="Arial" w:hAnsi="Arial"/>
        </w:rPr>
        <w:t xml:space="preserve"> </w:t>
      </w:r>
      <w:r w:rsidR="00EC4507" w:rsidRPr="006F7FEA">
        <w:rPr>
          <w:rFonts w:ascii="Arial" w:hAnsi="Arial"/>
        </w:rPr>
        <w:t xml:space="preserve">means </w:t>
      </w:r>
      <w:r>
        <w:rPr>
          <w:rFonts w:ascii="Arial" w:hAnsi="Arial"/>
        </w:rPr>
        <w:t>‘</w:t>
      </w:r>
      <w:r w:rsidR="00EC4507" w:rsidRPr="006F7FEA">
        <w:rPr>
          <w:rFonts w:ascii="Arial" w:hAnsi="Arial"/>
        </w:rPr>
        <w:t>a walk, drive or trip to and from a destination that the service visits regularly as part of its educational program; and where the circumstances relevant to the risk assessment are the same on each outing</w:t>
      </w:r>
      <w:r>
        <w:rPr>
          <w:rFonts w:ascii="Arial" w:hAnsi="Arial"/>
        </w:rPr>
        <w:t>’</w:t>
      </w:r>
      <w:r w:rsidR="00EC4507" w:rsidRPr="006F7FEA">
        <w:rPr>
          <w:rFonts w:ascii="Arial" w:hAnsi="Arial"/>
        </w:rPr>
        <w:t>.</w:t>
      </w:r>
      <w:r w:rsidRPr="006F7FEA">
        <w:rPr>
          <w:rFonts w:ascii="Arial" w:hAnsi="Arial"/>
        </w:rPr>
        <w:t xml:space="preserve"> (</w:t>
      </w:r>
      <w:r>
        <w:rPr>
          <w:rFonts w:ascii="Arial" w:hAnsi="Arial"/>
        </w:rPr>
        <w:t>R</w:t>
      </w:r>
      <w:r w:rsidRPr="006F7FEA">
        <w:rPr>
          <w:rFonts w:ascii="Arial" w:hAnsi="Arial"/>
        </w:rPr>
        <w:t>egulation 4 of the National Regulations)</w:t>
      </w:r>
    </w:p>
    <w:p w:rsidR="00F24127" w:rsidRPr="00F24127" w:rsidRDefault="00F24127" w:rsidP="00F24127">
      <w:pPr>
        <w:pStyle w:val="BlockText"/>
        <w:ind w:right="0"/>
        <w:rPr>
          <w:rFonts w:ascii="Arial" w:hAnsi="Arial"/>
        </w:rPr>
      </w:pPr>
      <w:r w:rsidRPr="00F24127">
        <w:rPr>
          <w:rFonts w:ascii="Arial" w:hAnsi="Arial"/>
        </w:rPr>
        <w:t>An example of a regular outing could be a daily visit to a local park</w:t>
      </w:r>
      <w:r w:rsidR="001463ED">
        <w:rPr>
          <w:rFonts w:ascii="Arial" w:hAnsi="Arial"/>
        </w:rPr>
        <w:t xml:space="preserve"> or library</w:t>
      </w:r>
      <w:r w:rsidRPr="00F24127">
        <w:rPr>
          <w:rFonts w:ascii="Arial" w:hAnsi="Arial"/>
        </w:rPr>
        <w:t xml:space="preserve">. There may be locations on larger rural properties to which an educator regularly accompanies children, such as a visit to the chicken pen or a horse paddock, beyond the fenced outdoor space at the residence. </w:t>
      </w:r>
      <w:r w:rsidR="00BA0CC8">
        <w:rPr>
          <w:rFonts w:ascii="Arial" w:hAnsi="Arial"/>
        </w:rPr>
        <w:t>As</w:t>
      </w:r>
      <w:r w:rsidRPr="00F24127">
        <w:rPr>
          <w:rFonts w:ascii="Arial" w:hAnsi="Arial"/>
        </w:rPr>
        <w:t xml:space="preserve"> such outings are regular in nature</w:t>
      </w:r>
      <w:r w:rsidR="00722521">
        <w:rPr>
          <w:rFonts w:ascii="Arial" w:hAnsi="Arial"/>
        </w:rPr>
        <w:t>,</w:t>
      </w:r>
      <w:r w:rsidRPr="00F24127">
        <w:rPr>
          <w:rFonts w:ascii="Arial" w:hAnsi="Arial"/>
        </w:rPr>
        <w:t xml:space="preserve"> the relevant risk assessment </w:t>
      </w:r>
      <w:r w:rsidR="00D25597" w:rsidRPr="00F24127">
        <w:rPr>
          <w:rFonts w:ascii="Arial" w:hAnsi="Arial"/>
        </w:rPr>
        <w:t xml:space="preserve">for each destination </w:t>
      </w:r>
      <w:r w:rsidR="00D25597">
        <w:rPr>
          <w:rFonts w:ascii="Arial" w:hAnsi="Arial"/>
        </w:rPr>
        <w:t xml:space="preserve">is required to be reviewed </w:t>
      </w:r>
      <w:r w:rsidRPr="00F24127">
        <w:rPr>
          <w:rFonts w:ascii="Arial" w:hAnsi="Arial"/>
        </w:rPr>
        <w:t xml:space="preserve">and parental </w:t>
      </w:r>
      <w:r w:rsidR="00722521">
        <w:rPr>
          <w:rFonts w:ascii="Arial" w:hAnsi="Arial"/>
        </w:rPr>
        <w:t>authorisation</w:t>
      </w:r>
      <w:r w:rsidR="00722521" w:rsidRPr="00F24127">
        <w:rPr>
          <w:rFonts w:ascii="Arial" w:hAnsi="Arial"/>
        </w:rPr>
        <w:t xml:space="preserve"> </w:t>
      </w:r>
      <w:r w:rsidR="00D25597">
        <w:rPr>
          <w:rFonts w:ascii="Arial" w:hAnsi="Arial"/>
        </w:rPr>
        <w:t xml:space="preserve">obtained </w:t>
      </w:r>
      <w:r w:rsidRPr="00F24127">
        <w:rPr>
          <w:rFonts w:ascii="Arial" w:hAnsi="Arial"/>
        </w:rPr>
        <w:t>on an annual basis</w:t>
      </w:r>
      <w:r w:rsidR="00D25597">
        <w:rPr>
          <w:rFonts w:ascii="Arial" w:hAnsi="Arial"/>
        </w:rPr>
        <w:t>.</w:t>
      </w:r>
    </w:p>
    <w:p w:rsidR="00F24127" w:rsidRPr="00F24127" w:rsidRDefault="00F24127" w:rsidP="00F24127">
      <w:pPr>
        <w:pStyle w:val="BlockText"/>
        <w:ind w:right="0"/>
        <w:rPr>
          <w:rFonts w:ascii="Arial" w:hAnsi="Arial"/>
        </w:rPr>
      </w:pPr>
      <w:r w:rsidRPr="00F24127">
        <w:rPr>
          <w:rFonts w:ascii="Arial" w:hAnsi="Arial"/>
        </w:rPr>
        <w:t>Excursions or regular outings must not be used to access the outdoor space</w:t>
      </w:r>
      <w:r w:rsidR="005E13E0">
        <w:rPr>
          <w:rFonts w:ascii="Arial" w:hAnsi="Arial"/>
        </w:rPr>
        <w:t xml:space="preserve"> adjoining</w:t>
      </w:r>
      <w:r w:rsidRPr="00F24127">
        <w:rPr>
          <w:rFonts w:ascii="Arial" w:hAnsi="Arial"/>
        </w:rPr>
        <w:t xml:space="preserve"> the educator's residence so that children can play outside. The use of excursions or regular outings in this way undermines and frustrates the intention of the legislation, specifically in this case, the requirement to have an appropriate fence </w:t>
      </w:r>
      <w:r w:rsidR="00C74965">
        <w:rPr>
          <w:rFonts w:ascii="Arial" w:hAnsi="Arial"/>
        </w:rPr>
        <w:t xml:space="preserve">or barrier </w:t>
      </w:r>
      <w:r w:rsidR="00256BBF">
        <w:rPr>
          <w:rFonts w:ascii="Arial" w:hAnsi="Arial"/>
        </w:rPr>
        <w:t>as outlined in R</w:t>
      </w:r>
      <w:r w:rsidRPr="00F24127">
        <w:rPr>
          <w:rFonts w:ascii="Arial" w:hAnsi="Arial"/>
        </w:rPr>
        <w:t>egulation 104.</w:t>
      </w:r>
    </w:p>
    <w:p w:rsidR="00F24127" w:rsidRDefault="00A56495" w:rsidP="00A56495">
      <w:pPr>
        <w:pStyle w:val="Heading3"/>
        <w:tabs>
          <w:tab w:val="left" w:pos="3551"/>
        </w:tabs>
      </w:pPr>
      <w:r>
        <w:t>More information</w:t>
      </w:r>
    </w:p>
    <w:p w:rsidR="00CD1FF5" w:rsidRPr="00852016" w:rsidRDefault="00A56495" w:rsidP="00BE4990">
      <w:pPr>
        <w:pStyle w:val="BlockText"/>
        <w:ind w:right="0"/>
        <w:rPr>
          <w:rFonts w:ascii="Arial" w:hAnsi="Arial"/>
        </w:rPr>
      </w:pPr>
      <w:r w:rsidRPr="00A56495">
        <w:rPr>
          <w:rFonts w:ascii="Arial" w:hAnsi="Arial"/>
        </w:rPr>
        <w:t xml:space="preserve">Contact your local regional office of the Department of Education and Training at </w:t>
      </w:r>
      <w:hyperlink r:id="rId8" w:history="1">
        <w:r w:rsidR="00BA0CC8" w:rsidRPr="00825F5F">
          <w:rPr>
            <w:rStyle w:val="Hyperlink"/>
            <w:rFonts w:ascii="Arial" w:hAnsi="Arial"/>
          </w:rPr>
          <w:t>http://www.qld.gov.au/families/babies/childcare/contacts/pages/regional.html</w:t>
        </w:r>
      </w:hyperlink>
    </w:p>
    <w:sectPr w:rsidR="00CD1FF5" w:rsidRPr="00852016" w:rsidSect="00F62F30">
      <w:headerReference w:type="default" r:id="rId9"/>
      <w:footerReference w:type="default" r:id="rId10"/>
      <w:headerReference w:type="first" r:id="rId11"/>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B2" w:rsidRDefault="009074B2">
      <w:r>
        <w:separator/>
      </w:r>
    </w:p>
  </w:endnote>
  <w:endnote w:type="continuationSeparator" w:id="0">
    <w:p w:rsidR="009074B2" w:rsidRDefault="0090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etaMediumLF-Roman">
    <w:charset w:val="00"/>
    <w:family w:val="auto"/>
    <w:pitch w:val="variable"/>
    <w:sig w:usb0="00000003" w:usb1="00000000" w:usb2="00000000" w:usb3="00000000" w:csb0="00000001" w:csb1="00000000"/>
  </w:font>
  <w:font w:name="MetaNormalLF-Italic">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9B" w:rsidRPr="00AB0765" w:rsidRDefault="009D157B" w:rsidP="00AB0765">
    <w:pPr>
      <w:pStyle w:val="Footer"/>
      <w:jc w:val="right"/>
      <w:rPr>
        <w:rFonts w:ascii="Arial Bold" w:hAnsi="Arial Bold"/>
        <w:color w:val="0095DA"/>
        <w:sz w:val="18"/>
      </w:rPr>
    </w:pPr>
    <w:r>
      <w:rPr>
        <w:noProof/>
        <w:lang w:val="en-US" w:eastAsia="en-US"/>
      </w:rPr>
      <w:pict>
        <v:shapetype id="_x0000_t202" coordsize="21600,21600" o:spt="202" path="m,l,21600r21600,l21600,xe">
          <v:stroke joinstyle="miter"/>
          <v:path gradientshapeok="t" o:connecttype="rect"/>
        </v:shapetype>
        <v:shape id="_x0000_s2070" type="#_x0000_t202" style="position:absolute;left:0;text-align:left;margin-left:-36pt;margin-top:-20.2pt;width:378pt;height:26.95pt;z-index:251657216" filled="f" stroked="f">
          <v:fill o:detectmouseclick="t"/>
          <v:textbox style="mso-next-textbox:#_x0000_s2070" inset=",7.2pt,,7.2pt">
            <w:txbxContent>
              <w:p w:rsidR="006E289B" w:rsidRPr="006E289B" w:rsidRDefault="006E289B" w:rsidP="006E289B">
                <w:pPr>
                  <w:pStyle w:val="Subhead"/>
                  <w:rPr>
                    <w:rStyle w:val="Italics"/>
                    <w:rFonts w:ascii="Arial" w:hAnsi="Arial" w:cs="Arial"/>
                    <w:i w:val="0"/>
                    <w:iCs w:val="0"/>
                    <w:color w:val="3052A0"/>
                    <w:sz w:val="16"/>
                    <w:szCs w:val="16"/>
                    <w:lang w:val="en-US"/>
                  </w:rPr>
                </w:pPr>
                <w:r w:rsidRPr="006E289B">
                  <w:rPr>
                    <w:rStyle w:val="Italics"/>
                    <w:rFonts w:ascii="Arial" w:hAnsi="Arial" w:cs="Arial"/>
                    <w:i w:val="0"/>
                    <w:iCs w:val="0"/>
                    <w:color w:val="3052A0"/>
                    <w:sz w:val="16"/>
                    <w:szCs w:val="16"/>
                    <w:lang w:val="en-US"/>
                  </w:rPr>
                  <w:t xml:space="preserve">REGULATION ASSESSMENT AND SERVICE QUALITY </w:t>
                </w:r>
              </w:p>
              <w:p w:rsidR="006E289B" w:rsidRPr="009B4FF8" w:rsidRDefault="006E289B" w:rsidP="00AB0765">
                <w:pPr>
                  <w:pStyle w:val="Footer"/>
                  <w:rPr>
                    <w:rFonts w:ascii="Arial" w:hAnsi="Arial"/>
                    <w:color w:val="0095DA"/>
                  </w:rPr>
                </w:pPr>
              </w:p>
            </w:txbxContent>
          </v:textbox>
          <w10:wrap type="square"/>
        </v:shape>
      </w:pict>
    </w:r>
    <w:r w:rsidR="006E289B">
      <w:rPr>
        <w:noProof/>
        <w:lang w:val="en-US" w:eastAsia="en-US"/>
      </w:rPr>
      <w:pict>
        <v:shape id="_x0000_s2069" type="#_x0000_t202" style="position:absolute;left:0;text-align:left;margin-left:450pt;margin-top:-18.05pt;width:21.1pt;height:28.2pt;z-index:251656192;mso-wrap-style:none" filled="f" stroked="f">
          <v:fill o:detectmouseclick="t"/>
          <v:textbox style="mso-next-textbox:#_x0000_s2069;mso-fit-shape-to-text:t" inset=",7.2pt,,7.2pt">
            <w:txbxContent>
              <w:p w:rsidR="006E289B" w:rsidRPr="006E289B" w:rsidRDefault="006E289B" w:rsidP="009F69D4">
                <w:pPr>
                  <w:pStyle w:val="Footer"/>
                  <w:jc w:val="right"/>
                  <w:rPr>
                    <w:rFonts w:ascii="Arial" w:hAnsi="Arial"/>
                    <w:color w:val="3366FF"/>
                  </w:rPr>
                </w:pPr>
                <w:r w:rsidRPr="006E289B">
                  <w:rPr>
                    <w:rStyle w:val="PageNumber"/>
                    <w:rFonts w:ascii="Arial" w:hAnsi="Arial"/>
                    <w:color w:val="3366FF"/>
                  </w:rPr>
                  <w:fldChar w:fldCharType="begin"/>
                </w:r>
                <w:r w:rsidRPr="006E289B">
                  <w:rPr>
                    <w:rStyle w:val="PageNumber"/>
                    <w:rFonts w:ascii="Arial" w:hAnsi="Arial"/>
                    <w:color w:val="3366FF"/>
                  </w:rPr>
                  <w:instrText xml:space="preserve"> PAGE </w:instrText>
                </w:r>
                <w:r w:rsidRPr="006E289B">
                  <w:rPr>
                    <w:rStyle w:val="PageNumber"/>
                    <w:rFonts w:ascii="Arial" w:hAnsi="Arial"/>
                    <w:color w:val="3366FF"/>
                  </w:rPr>
                  <w:fldChar w:fldCharType="separate"/>
                </w:r>
                <w:r w:rsidR="00CF7937">
                  <w:rPr>
                    <w:rStyle w:val="PageNumber"/>
                    <w:rFonts w:ascii="Arial" w:hAnsi="Arial"/>
                    <w:noProof/>
                    <w:color w:val="3366FF"/>
                  </w:rPr>
                  <w:t>2</w:t>
                </w:r>
                <w:r w:rsidRPr="006E289B">
                  <w:rPr>
                    <w:rStyle w:val="PageNumber"/>
                    <w:rFonts w:ascii="Arial" w:hAnsi="Arial"/>
                    <w:color w:val="3366FF"/>
                  </w:rPr>
                  <w:fldChar w:fldCharType="end"/>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B2" w:rsidRDefault="009074B2">
      <w:r>
        <w:separator/>
      </w:r>
    </w:p>
  </w:footnote>
  <w:footnote w:type="continuationSeparator" w:id="0">
    <w:p w:rsidR="009074B2" w:rsidRDefault="0090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9B" w:rsidRDefault="006E289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92.6pt;height:60.9pt;z-index:-251658240;mso-position-horizontal:left;mso-position-horizontal-relative:page;mso-position-vertical:top;mso-position-vertical-relative:page">
          <v:imagedata r:id="rId1" o:title="HEADER 2_RASQ A4 Templates_Portrai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30" w:rsidRDefault="00F62F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12pt;margin-top:12pt;width:592.6pt;height:227.1pt;z-index:-251657216;mso-position-horizontal-relative:page;mso-position-vertical-relative:page">
          <v:imagedata r:id="rId1" o:title="HEADER_RASQ A4 Factsheet_Portrai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2F7"/>
    <w:multiLevelType w:val="hybridMultilevel"/>
    <w:tmpl w:val="8A9CF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751A71"/>
    <w:multiLevelType w:val="hybridMultilevel"/>
    <w:tmpl w:val="1B76D94C"/>
    <w:lvl w:ilvl="0" w:tplc="FFA881FC">
      <w:numFmt w:val="bullet"/>
      <w:lvlText w:val="•"/>
      <w:lvlJc w:val="left"/>
      <w:pPr>
        <w:ind w:left="720" w:hanging="360"/>
      </w:pPr>
      <w:rPr>
        <w:rFonts w:ascii="Arial" w:eastAsia="Times" w:hAnsi="Arial" w:cs="Arial" w:hint="default"/>
        <w:color w:val="242424"/>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E0007C"/>
    <w:multiLevelType w:val="hybridMultilevel"/>
    <w:tmpl w:val="A8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F037DB"/>
    <w:multiLevelType w:val="hybridMultilevel"/>
    <w:tmpl w:val="271239B8"/>
    <w:lvl w:ilvl="0" w:tplc="FFA881FC">
      <w:numFmt w:val="bullet"/>
      <w:lvlText w:val="•"/>
      <w:lvlJc w:val="left"/>
      <w:pPr>
        <w:ind w:left="360" w:hanging="360"/>
      </w:pPr>
      <w:rPr>
        <w:rFonts w:ascii="Arial" w:eastAsia="Times" w:hAnsi="Arial" w:cs="Arial" w:hint="default"/>
        <w:color w:val="242424"/>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CC44172"/>
    <w:multiLevelType w:val="multilevel"/>
    <w:tmpl w:val="E042D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D4B"/>
    <w:rsid w:val="000072D9"/>
    <w:rsid w:val="00052B51"/>
    <w:rsid w:val="001463ED"/>
    <w:rsid w:val="001547C7"/>
    <w:rsid w:val="00154A13"/>
    <w:rsid w:val="00162B1D"/>
    <w:rsid w:val="0017337C"/>
    <w:rsid w:val="00196A40"/>
    <w:rsid w:val="001C0FDD"/>
    <w:rsid w:val="001D1CA0"/>
    <w:rsid w:val="001D260E"/>
    <w:rsid w:val="00250CA1"/>
    <w:rsid w:val="0025448F"/>
    <w:rsid w:val="00256BBF"/>
    <w:rsid w:val="002E07E4"/>
    <w:rsid w:val="0031170A"/>
    <w:rsid w:val="0033392B"/>
    <w:rsid w:val="0036061D"/>
    <w:rsid w:val="00366A12"/>
    <w:rsid w:val="003B7B20"/>
    <w:rsid w:val="00415260"/>
    <w:rsid w:val="0046738C"/>
    <w:rsid w:val="00481D02"/>
    <w:rsid w:val="004E4C09"/>
    <w:rsid w:val="0051289D"/>
    <w:rsid w:val="005478C0"/>
    <w:rsid w:val="00564CD5"/>
    <w:rsid w:val="005660D8"/>
    <w:rsid w:val="0058077C"/>
    <w:rsid w:val="005E13E0"/>
    <w:rsid w:val="006223EF"/>
    <w:rsid w:val="00640B96"/>
    <w:rsid w:val="00666DB4"/>
    <w:rsid w:val="006E289B"/>
    <w:rsid w:val="006F7FEA"/>
    <w:rsid w:val="00707F0C"/>
    <w:rsid w:val="00722521"/>
    <w:rsid w:val="007245D6"/>
    <w:rsid w:val="0076042E"/>
    <w:rsid w:val="00765CF1"/>
    <w:rsid w:val="007F2184"/>
    <w:rsid w:val="007F5E91"/>
    <w:rsid w:val="008312B1"/>
    <w:rsid w:val="00852016"/>
    <w:rsid w:val="009074B2"/>
    <w:rsid w:val="00930B06"/>
    <w:rsid w:val="00955BFF"/>
    <w:rsid w:val="00963D0C"/>
    <w:rsid w:val="00984F32"/>
    <w:rsid w:val="009C196A"/>
    <w:rsid w:val="009D0919"/>
    <w:rsid w:val="009D157B"/>
    <w:rsid w:val="009F69D4"/>
    <w:rsid w:val="00A12153"/>
    <w:rsid w:val="00A17C57"/>
    <w:rsid w:val="00A3348C"/>
    <w:rsid w:val="00A56495"/>
    <w:rsid w:val="00A80DD5"/>
    <w:rsid w:val="00A8781F"/>
    <w:rsid w:val="00AB0765"/>
    <w:rsid w:val="00AF0788"/>
    <w:rsid w:val="00AF595E"/>
    <w:rsid w:val="00B0007A"/>
    <w:rsid w:val="00B14C8E"/>
    <w:rsid w:val="00B87E90"/>
    <w:rsid w:val="00B951AA"/>
    <w:rsid w:val="00B95861"/>
    <w:rsid w:val="00BA0CC8"/>
    <w:rsid w:val="00BE00C8"/>
    <w:rsid w:val="00BE4990"/>
    <w:rsid w:val="00C464F6"/>
    <w:rsid w:val="00C53EE5"/>
    <w:rsid w:val="00C74965"/>
    <w:rsid w:val="00CC4F57"/>
    <w:rsid w:val="00CD1FF5"/>
    <w:rsid w:val="00CF46F2"/>
    <w:rsid w:val="00CF7937"/>
    <w:rsid w:val="00D25597"/>
    <w:rsid w:val="00D511CA"/>
    <w:rsid w:val="00DA2B09"/>
    <w:rsid w:val="00DE6367"/>
    <w:rsid w:val="00E049F8"/>
    <w:rsid w:val="00E5637D"/>
    <w:rsid w:val="00E87B0E"/>
    <w:rsid w:val="00EB0F24"/>
    <w:rsid w:val="00EC4507"/>
    <w:rsid w:val="00ED27D4"/>
    <w:rsid w:val="00EE4325"/>
    <w:rsid w:val="00EF1C09"/>
    <w:rsid w:val="00F147D6"/>
    <w:rsid w:val="00F24127"/>
    <w:rsid w:val="00F50DAB"/>
    <w:rsid w:val="00F62F30"/>
    <w:rsid w:val="00F840F6"/>
    <w:rsid w:val="00F855AD"/>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7D80A6E2-6A11-4A70-81D8-6E90EAE5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852016"/>
    <w:pPr>
      <w:keepNext/>
      <w:tabs>
        <w:tab w:val="left" w:pos="709"/>
      </w:tabs>
      <w:spacing w:after="400" w:line="560" w:lineRule="exact"/>
      <w:outlineLvl w:val="0"/>
    </w:pPr>
    <w:rPr>
      <w:rFonts w:ascii="Arial" w:eastAsia="Times" w:hAnsi="Arial"/>
      <w:sz w:val="36"/>
      <w:szCs w:val="20"/>
      <w:lang w:eastAsia="en-US"/>
    </w:rPr>
  </w:style>
  <w:style w:type="paragraph" w:styleId="Heading2">
    <w:name w:val="heading 2"/>
    <w:basedOn w:val="Normal"/>
    <w:next w:val="Normal"/>
    <w:qFormat/>
    <w:rsid w:val="00852016"/>
    <w:pPr>
      <w:keepNext/>
      <w:spacing w:before="360" w:after="160" w:line="360" w:lineRule="exact"/>
      <w:outlineLvl w:val="1"/>
    </w:pPr>
    <w:rPr>
      <w:rFonts w:ascii="Arial" w:eastAsia="Times" w:hAnsi="Arial"/>
      <w:sz w:val="28"/>
      <w:szCs w:val="20"/>
      <w:lang w:eastAsia="en-US"/>
    </w:rPr>
  </w:style>
  <w:style w:type="paragraph" w:styleId="Heading3">
    <w:name w:val="heading 3"/>
    <w:basedOn w:val="Normal"/>
    <w:next w:val="Normal"/>
    <w:qFormat/>
    <w:rsid w:val="00852016"/>
    <w:pPr>
      <w:keepNext/>
      <w:suppressAutoHyphens/>
      <w:spacing w:before="200" w:after="60" w:line="360" w:lineRule="exact"/>
      <w:outlineLvl w:val="2"/>
    </w:pPr>
    <w:rPr>
      <w:rFonts w:ascii="Arial" w:eastAsia="Times" w:hAnsi="Arial"/>
      <w:b/>
      <w:sz w:val="2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rsid w:val="00275891"/>
    <w:pPr>
      <w:tabs>
        <w:tab w:val="center" w:pos="4153"/>
        <w:tab w:val="right" w:pos="8306"/>
      </w:tabs>
    </w:pPr>
  </w:style>
  <w:style w:type="character" w:styleId="PageNumber">
    <w:name w:val="page number"/>
    <w:basedOn w:val="DefaultParagraphFont"/>
    <w:rsid w:val="00C77AEC"/>
  </w:style>
  <w:style w:type="paragraph" w:customStyle="1" w:styleId="Subhead">
    <w:name w:val="Subhead"/>
    <w:basedOn w:val="Normal"/>
    <w:uiPriority w:val="99"/>
    <w:rsid w:val="006E289B"/>
    <w:pPr>
      <w:widowControl w:val="0"/>
      <w:suppressAutoHyphens/>
      <w:autoSpaceDE w:val="0"/>
      <w:autoSpaceDN w:val="0"/>
      <w:adjustRightInd w:val="0"/>
      <w:spacing w:before="57" w:after="57" w:line="220" w:lineRule="atLeast"/>
      <w:textAlignment w:val="center"/>
    </w:pPr>
    <w:rPr>
      <w:rFonts w:ascii="MetaMediumLF-Roman" w:hAnsi="MetaMediumLF-Roman" w:cs="MetaMediumLF-Roman"/>
      <w:caps/>
      <w:color w:val="FFFFFF"/>
      <w:sz w:val="20"/>
      <w:szCs w:val="20"/>
      <w:lang w:val="en-GB" w:eastAsia="en-US"/>
    </w:rPr>
  </w:style>
  <w:style w:type="character" w:customStyle="1" w:styleId="Italics">
    <w:name w:val="Italics"/>
    <w:uiPriority w:val="99"/>
    <w:rsid w:val="006E289B"/>
    <w:rPr>
      <w:rFonts w:ascii="MetaNormalLF-Italic" w:hAnsi="MetaNormalLF-Italic" w:cs="MetaNormalLF-Italic"/>
      <w:i/>
      <w:iCs/>
      <w:sz w:val="20"/>
      <w:szCs w:val="20"/>
    </w:rPr>
  </w:style>
  <w:style w:type="paragraph" w:customStyle="1" w:styleId="BasicParagraph">
    <w:name w:val="[Basic Paragraph]"/>
    <w:basedOn w:val="Normal"/>
    <w:uiPriority w:val="99"/>
    <w:rsid w:val="006E289B"/>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styleId="Hyperlink">
    <w:name w:val="Hyperlink"/>
    <w:rsid w:val="00A56495"/>
    <w:rPr>
      <w:color w:val="0000FF"/>
      <w:u w:val="single"/>
    </w:rPr>
  </w:style>
  <w:style w:type="character" w:styleId="CommentReference">
    <w:name w:val="annotation reference"/>
    <w:rsid w:val="00707F0C"/>
    <w:rPr>
      <w:sz w:val="16"/>
      <w:szCs w:val="16"/>
    </w:rPr>
  </w:style>
  <w:style w:type="paragraph" w:styleId="CommentText">
    <w:name w:val="annotation text"/>
    <w:basedOn w:val="Normal"/>
    <w:link w:val="CommentTextChar"/>
    <w:rsid w:val="00707F0C"/>
    <w:rPr>
      <w:sz w:val="20"/>
      <w:szCs w:val="20"/>
    </w:rPr>
  </w:style>
  <w:style w:type="character" w:customStyle="1" w:styleId="CommentTextChar">
    <w:name w:val="Comment Text Char"/>
    <w:basedOn w:val="DefaultParagraphFont"/>
    <w:link w:val="CommentText"/>
    <w:rsid w:val="00707F0C"/>
  </w:style>
  <w:style w:type="paragraph" w:styleId="CommentSubject">
    <w:name w:val="annotation subject"/>
    <w:basedOn w:val="CommentText"/>
    <w:next w:val="CommentText"/>
    <w:link w:val="CommentSubjectChar"/>
    <w:rsid w:val="00707F0C"/>
    <w:rPr>
      <w:b/>
      <w:bCs/>
    </w:rPr>
  </w:style>
  <w:style w:type="character" w:customStyle="1" w:styleId="CommentSubjectChar">
    <w:name w:val="Comment Subject Char"/>
    <w:link w:val="CommentSubject"/>
    <w:rsid w:val="00707F0C"/>
    <w:rPr>
      <w:b/>
      <w:bCs/>
    </w:rPr>
  </w:style>
  <w:style w:type="paragraph" w:styleId="BalloonText">
    <w:name w:val="Balloon Text"/>
    <w:basedOn w:val="Normal"/>
    <w:link w:val="BalloonTextChar"/>
    <w:rsid w:val="00707F0C"/>
    <w:rPr>
      <w:rFonts w:ascii="Tahoma" w:hAnsi="Tahoma" w:cs="Tahoma"/>
      <w:sz w:val="16"/>
      <w:szCs w:val="16"/>
    </w:rPr>
  </w:style>
  <w:style w:type="character" w:customStyle="1" w:styleId="BalloonTextChar">
    <w:name w:val="Balloon Text Char"/>
    <w:link w:val="BalloonText"/>
    <w:rsid w:val="0070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5708">
      <w:bodyDiv w:val="1"/>
      <w:marLeft w:val="0"/>
      <w:marRight w:val="0"/>
      <w:marTop w:val="0"/>
      <w:marBottom w:val="0"/>
      <w:divBdr>
        <w:top w:val="none" w:sz="0" w:space="0" w:color="auto"/>
        <w:left w:val="none" w:sz="0" w:space="0" w:color="auto"/>
        <w:bottom w:val="none" w:sz="0" w:space="0" w:color="auto"/>
        <w:right w:val="none" w:sz="0" w:space="0" w:color="auto"/>
      </w:divBdr>
    </w:div>
    <w:div w:id="1426071224">
      <w:bodyDiv w:val="1"/>
      <w:marLeft w:val="0"/>
      <w:marRight w:val="0"/>
      <w:marTop w:val="0"/>
      <w:marBottom w:val="0"/>
      <w:divBdr>
        <w:top w:val="none" w:sz="0" w:space="0" w:color="auto"/>
        <w:left w:val="none" w:sz="0" w:space="0" w:color="auto"/>
        <w:bottom w:val="none" w:sz="0" w:space="0" w:color="auto"/>
        <w:right w:val="none" w:sz="0" w:space="0" w:color="auto"/>
      </w:divBdr>
      <w:divsChild>
        <w:div w:id="793182490">
          <w:marLeft w:val="2"/>
          <w:marRight w:val="2"/>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ld.gov.au/families/babies/childcare/contacts/pages/region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ccm_dev:CCM_MAC:Publishing%20Square:1%20STYLE%20GUIDE:DET%20templates:2.%20In-house%20publications:MS%20word%20templates:Booklet:A4%20booklet:MSWord:A4%20booklet%20cover%20portrait:Cover%20and%20internal:DET:det-a4-cover-port-blue-1-column-circ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19A4-B480-4662-88E5-D13A1BF2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det-a4-cover-port-blue-1-column-circles.dot</Template>
  <TotalTime>1</TotalTime>
  <Pages>3</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Heading 1 Style</vt:lpstr>
    </vt:vector>
  </TitlesOfParts>
  <Company>Education Queensland</Company>
  <LinksUpToDate>false</LinksUpToDate>
  <CharactersWithSpaces>6197</CharactersWithSpaces>
  <SharedDoc>false</SharedDoc>
  <HLinks>
    <vt:vector size="6" baseType="variant">
      <vt:variant>
        <vt:i4>4259853</vt:i4>
      </vt:variant>
      <vt:variant>
        <vt:i4>0</vt:i4>
      </vt:variant>
      <vt:variant>
        <vt:i4>0</vt:i4>
      </vt:variant>
      <vt:variant>
        <vt:i4>5</vt:i4>
      </vt:variant>
      <vt:variant>
        <vt:lpwstr>http://www.qld.gov.au/families/babies/childcare/contacts/pages/regional.html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Style</dc:title>
  <dc:subject/>
  <dc:creator>John Pennisi</dc:creator>
  <cp:keywords/>
  <cp:lastModifiedBy>Kirsty Sheehy</cp:lastModifiedBy>
  <cp:revision>2</cp:revision>
  <cp:lastPrinted>2016-06-23T00:20:00Z</cp:lastPrinted>
  <dcterms:created xsi:type="dcterms:W3CDTF">2016-10-13T05:01:00Z</dcterms:created>
  <dcterms:modified xsi:type="dcterms:W3CDTF">2016-10-13T05:01:00Z</dcterms:modified>
</cp:coreProperties>
</file>